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r>
        <w:rPr>
          <w:b/>
          <w:sz w:val="36"/>
          <w:szCs w:val="36"/>
          <w:highlight w:val="none"/>
        </w:rPr>
        <w:t xml:space="preserve"> 采购需求</w:t>
      </w:r>
    </w:p>
    <w:p>
      <w:pPr>
        <w:pStyle w:val="3"/>
        <w:spacing w:before="129"/>
        <w:ind w:left="120"/>
        <w:rPr>
          <w:rFonts w:hint="eastAsia" w:ascii="宋体" w:hAnsi="宋体" w:eastAsia="宋体" w:cs="宋体"/>
          <w:w w:val="105"/>
          <w:sz w:val="24"/>
          <w:szCs w:val="24"/>
          <w:highlight w:val="none"/>
          <w:lang w:val="en" w:eastAsia="zh-CN"/>
        </w:rPr>
      </w:pPr>
      <w:r>
        <w:rPr>
          <w:rFonts w:hint="eastAsia" w:ascii="宋体" w:hAnsi="宋体" w:eastAsia="宋体" w:cs="宋体"/>
          <w:w w:val="105"/>
          <w:sz w:val="24"/>
          <w:szCs w:val="24"/>
          <w:highlight w:val="none"/>
          <w:lang w:val="en" w:eastAsia="zh-CN"/>
        </w:rPr>
        <w:t>1.1项目背景</w:t>
      </w:r>
    </w:p>
    <w:p>
      <w:pPr>
        <w:ind w:firstLine="461"/>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本项目为进一步提升现有系统的能力建设，采购数据库基础软件，完成软件的部署安装及配合业务系统适配改造过程的调优、排错、技术支持服务等。</w:t>
      </w:r>
    </w:p>
    <w:p>
      <w:pPr>
        <w:pStyle w:val="3"/>
        <w:spacing w:before="129"/>
        <w:ind w:left="120"/>
        <w:rPr>
          <w:rFonts w:hint="eastAsia" w:ascii="宋体" w:hAnsi="宋体" w:eastAsia="宋体" w:cs="宋体"/>
          <w:w w:val="105"/>
          <w:sz w:val="24"/>
          <w:szCs w:val="24"/>
          <w:highlight w:val="none"/>
          <w:lang w:eastAsia="zh-CN"/>
        </w:rPr>
      </w:pPr>
      <w:r>
        <w:rPr>
          <w:rFonts w:hint="eastAsia" w:ascii="宋体" w:hAnsi="宋体" w:eastAsia="宋体" w:cs="宋体"/>
          <w:w w:val="105"/>
          <w:sz w:val="24"/>
          <w:szCs w:val="24"/>
          <w:highlight w:val="none"/>
          <w:lang w:eastAsia="zh-CN"/>
        </w:rPr>
        <w:t>1.2采购标的（</w:t>
      </w:r>
      <w:r>
        <w:rPr>
          <w:rFonts w:hint="eastAsia" w:ascii="宋体" w:hAnsi="宋体" w:eastAsia="宋体" w:cs="宋体"/>
          <w:spacing w:val="-3"/>
          <w:sz w:val="24"/>
          <w:szCs w:val="24"/>
          <w:highlight w:val="none"/>
          <w:lang w:eastAsia="zh-CN"/>
        </w:rPr>
        <w:t>本项目不接受进口产品）</w:t>
      </w:r>
    </w:p>
    <w:tbl>
      <w:tblPr>
        <w:tblStyle w:val="7"/>
        <w:tblpPr w:leftFromText="180" w:rightFromText="180" w:vertAnchor="text" w:horzAnchor="page" w:tblpX="1862" w:tblpY="633"/>
        <w:tblOverlap w:val="never"/>
        <w:tblW w:w="82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2279"/>
        <w:gridCol w:w="953"/>
        <w:gridCol w:w="656"/>
        <w:gridCol w:w="2706"/>
        <w:gridCol w:w="1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936" w:hRule="atLeast"/>
        </w:trPr>
        <w:tc>
          <w:tcPr>
            <w:tcW w:w="566" w:type="dxa"/>
          </w:tcPr>
          <w:p>
            <w:pPr>
              <w:pStyle w:val="10"/>
              <w:spacing w:before="160" w:line="242" w:lineRule="auto"/>
              <w:ind w:left="163" w:right="150"/>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序号</w:t>
            </w:r>
          </w:p>
        </w:tc>
        <w:tc>
          <w:tcPr>
            <w:tcW w:w="2279" w:type="dxa"/>
          </w:tcPr>
          <w:p>
            <w:pPr>
              <w:pStyle w:val="10"/>
              <w:spacing w:before="8"/>
              <w:rPr>
                <w:rFonts w:hint="eastAsia" w:ascii="宋体" w:hAnsi="宋体" w:eastAsia="宋体" w:cs="宋体"/>
                <w:sz w:val="24"/>
                <w:szCs w:val="24"/>
                <w:highlight w:val="none"/>
              </w:rPr>
            </w:pPr>
          </w:p>
          <w:p>
            <w:pPr>
              <w:pStyle w:val="10"/>
              <w:ind w:left="196" w:right="186"/>
              <w:jc w:val="center"/>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采购标的名称</w:t>
            </w:r>
          </w:p>
        </w:tc>
        <w:tc>
          <w:tcPr>
            <w:tcW w:w="953" w:type="dxa"/>
          </w:tcPr>
          <w:p>
            <w:pPr>
              <w:pStyle w:val="10"/>
              <w:spacing w:before="8"/>
              <w:rPr>
                <w:rFonts w:hint="eastAsia" w:ascii="宋体" w:hAnsi="宋体" w:eastAsia="宋体" w:cs="宋体"/>
                <w:sz w:val="24"/>
                <w:szCs w:val="24"/>
                <w:highlight w:val="none"/>
              </w:rPr>
            </w:pPr>
          </w:p>
          <w:p>
            <w:pPr>
              <w:pStyle w:val="10"/>
              <w:ind w:left="221" w:right="211"/>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数量</w:t>
            </w:r>
          </w:p>
        </w:tc>
        <w:tc>
          <w:tcPr>
            <w:tcW w:w="656" w:type="dxa"/>
          </w:tcPr>
          <w:p>
            <w:pPr>
              <w:pStyle w:val="10"/>
              <w:spacing w:before="160" w:line="242" w:lineRule="auto"/>
              <w:ind w:left="208" w:right="195"/>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单位</w:t>
            </w:r>
          </w:p>
        </w:tc>
        <w:tc>
          <w:tcPr>
            <w:tcW w:w="2706" w:type="dxa"/>
          </w:tcPr>
          <w:p>
            <w:pPr>
              <w:pStyle w:val="10"/>
              <w:spacing w:before="160" w:line="242" w:lineRule="auto"/>
              <w:ind w:left="1113" w:right="140" w:hanging="961"/>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lang w:eastAsia="zh-CN"/>
              </w:rPr>
              <w:t>中小企业划分标准所属</w:t>
            </w:r>
            <w:r>
              <w:rPr>
                <w:rFonts w:hint="eastAsia" w:ascii="宋体" w:hAnsi="宋体" w:eastAsia="宋体" w:cs="宋体"/>
                <w:spacing w:val="-6"/>
                <w:sz w:val="24"/>
                <w:szCs w:val="24"/>
                <w:highlight w:val="none"/>
                <w:lang w:eastAsia="zh-CN"/>
              </w:rPr>
              <w:t>行业</w:t>
            </w:r>
          </w:p>
        </w:tc>
        <w:tc>
          <w:tcPr>
            <w:tcW w:w="1130" w:type="dxa"/>
          </w:tcPr>
          <w:p>
            <w:pPr>
              <w:pStyle w:val="10"/>
              <w:spacing w:before="4"/>
              <w:ind w:left="202" w:right="192"/>
              <w:jc w:val="center"/>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备注</w:t>
            </w:r>
          </w:p>
          <w:p>
            <w:pPr>
              <w:pStyle w:val="10"/>
              <w:spacing w:line="310" w:lineRule="atLeast"/>
              <w:ind w:left="205" w:right="192"/>
              <w:jc w:val="center"/>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（核心</w:t>
            </w:r>
            <w:r>
              <w:rPr>
                <w:rFonts w:hint="eastAsia" w:ascii="宋体" w:hAnsi="宋体" w:eastAsia="宋体" w:cs="宋体"/>
                <w:sz w:val="24"/>
                <w:szCs w:val="24"/>
                <w:highlight w:val="none"/>
              </w:rPr>
              <w:t>产品</w:t>
            </w:r>
            <w:r>
              <w:rPr>
                <w:rFonts w:hint="eastAsia" w:ascii="宋体" w:hAnsi="宋体" w:eastAsia="宋体" w:cs="宋体"/>
                <w:spacing w:val="-1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2" w:hRule="atLeast"/>
        </w:trPr>
        <w:tc>
          <w:tcPr>
            <w:tcW w:w="566" w:type="dxa"/>
          </w:tcPr>
          <w:p>
            <w:pPr>
              <w:pStyle w:val="10"/>
              <w:spacing w:before="4" w:line="288" w:lineRule="exact"/>
              <w:ind w:left="223"/>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2279" w:type="dxa"/>
          </w:tcPr>
          <w:p>
            <w:pPr>
              <w:pStyle w:val="10"/>
              <w:spacing w:before="4" w:line="288" w:lineRule="exact"/>
              <w:ind w:left="196" w:right="186"/>
              <w:jc w:val="center"/>
              <w:rPr>
                <w:rFonts w:hint="eastAsia" w:ascii="宋体" w:hAnsi="宋体" w:eastAsia="宋体" w:cs="宋体"/>
                <w:sz w:val="24"/>
                <w:szCs w:val="24"/>
                <w:highlight w:val="none"/>
                <w:lang w:eastAsia="zh-CN"/>
              </w:rPr>
            </w:pPr>
            <w:r>
              <w:rPr>
                <w:rFonts w:hint="eastAsia" w:ascii="宋体" w:hAnsi="宋体" w:eastAsia="宋体" w:cs="宋体"/>
                <w:spacing w:val="-9"/>
                <w:sz w:val="24"/>
                <w:szCs w:val="24"/>
                <w:highlight w:val="none"/>
              </w:rPr>
              <w:t>集中式数据库</w:t>
            </w:r>
          </w:p>
        </w:tc>
        <w:tc>
          <w:tcPr>
            <w:tcW w:w="953" w:type="dxa"/>
          </w:tcPr>
          <w:p>
            <w:pPr>
              <w:pStyle w:val="10"/>
              <w:spacing w:before="4" w:line="288" w:lineRule="exact"/>
              <w:ind w:left="221" w:right="211"/>
              <w:jc w:val="center"/>
              <w:rPr>
                <w:rFonts w:hint="eastAsia" w:ascii="宋体" w:hAnsi="宋体" w:eastAsia="宋体" w:cs="宋体"/>
                <w:sz w:val="24"/>
                <w:szCs w:val="24"/>
                <w:highlight w:val="none"/>
                <w:lang w:eastAsia="zh-CN"/>
              </w:rPr>
            </w:pPr>
            <w:r>
              <w:rPr>
                <w:rFonts w:hint="eastAsia" w:ascii="宋体" w:hAnsi="宋体" w:eastAsia="宋体" w:cs="宋体"/>
                <w:spacing w:val="-5"/>
                <w:sz w:val="24"/>
                <w:szCs w:val="24"/>
                <w:highlight w:val="none"/>
                <w:lang w:eastAsia="zh-CN"/>
              </w:rPr>
              <w:t>25</w:t>
            </w:r>
          </w:p>
        </w:tc>
        <w:tc>
          <w:tcPr>
            <w:tcW w:w="656" w:type="dxa"/>
          </w:tcPr>
          <w:p>
            <w:pPr>
              <w:pStyle w:val="10"/>
              <w:spacing w:before="4" w:line="288" w:lineRule="exact"/>
              <w:ind w:right="195"/>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套</w:t>
            </w:r>
          </w:p>
        </w:tc>
        <w:tc>
          <w:tcPr>
            <w:tcW w:w="2706" w:type="dxa"/>
          </w:tcPr>
          <w:p>
            <w:pPr>
              <w:pStyle w:val="10"/>
              <w:spacing w:before="4" w:line="288" w:lineRule="exact"/>
              <w:ind w:left="94" w:right="171"/>
              <w:jc w:val="center"/>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软件和信息技术服务业</w:t>
            </w:r>
          </w:p>
        </w:tc>
        <w:tc>
          <w:tcPr>
            <w:tcW w:w="1130" w:type="dxa"/>
          </w:tcPr>
          <w:p>
            <w:pPr>
              <w:pStyle w:val="10"/>
              <w:spacing w:before="4" w:line="288" w:lineRule="exact"/>
              <w:ind w:right="432"/>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bl>
    <w:p>
      <w:pPr>
        <w:rPr>
          <w:rFonts w:hint="eastAsia" w:ascii="宋体" w:hAnsi="宋体" w:eastAsia="宋体" w:cs="宋体"/>
          <w:spacing w:val="-3"/>
          <w:sz w:val="24"/>
          <w:szCs w:val="24"/>
          <w:highlight w:val="none"/>
          <w:lang w:eastAsia="zh-CN"/>
        </w:rPr>
      </w:pPr>
    </w:p>
    <w:p>
      <w:pPr>
        <w:pStyle w:val="3"/>
        <w:spacing w:before="129"/>
        <w:ind w:left="120"/>
        <w:rPr>
          <w:rFonts w:hint="eastAsia" w:ascii="宋体" w:hAnsi="宋体" w:eastAsia="宋体" w:cs="宋体"/>
          <w:w w:val="105"/>
          <w:sz w:val="24"/>
          <w:szCs w:val="24"/>
          <w:highlight w:val="none"/>
          <w:lang w:eastAsia="zh-CN"/>
        </w:rPr>
      </w:pPr>
      <w:r>
        <w:rPr>
          <w:rFonts w:hint="eastAsia" w:ascii="宋体" w:hAnsi="宋体" w:eastAsia="宋体" w:cs="宋体"/>
          <w:w w:val="105"/>
          <w:sz w:val="24"/>
          <w:szCs w:val="24"/>
          <w:highlight w:val="none"/>
          <w:lang w:eastAsia="zh-CN"/>
        </w:rPr>
        <w:t>1.3商务要求</w:t>
      </w:r>
    </w:p>
    <w:p>
      <w:pPr>
        <w:ind w:firstLine="461"/>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 xml:space="preserve"> 1.3.1 项目周期</w:t>
      </w:r>
    </w:p>
    <w:p>
      <w:pPr>
        <w:rPr>
          <w:rFonts w:hint="eastAsia" w:ascii="宋体" w:hAnsi="宋体" w:eastAsia="宋体" w:cs="宋体"/>
          <w:spacing w:val="-3"/>
          <w:sz w:val="24"/>
          <w:szCs w:val="24"/>
          <w:highlight w:val="none"/>
          <w:lang w:eastAsia="zh-CN"/>
        </w:rPr>
      </w:pPr>
      <w:r>
        <w:rPr>
          <w:rFonts w:hint="eastAsia" w:ascii="宋体" w:hAnsi="宋体" w:eastAsia="宋体" w:cs="宋体"/>
          <w:w w:val="105"/>
          <w:sz w:val="24"/>
          <w:szCs w:val="24"/>
          <w:highlight w:val="none"/>
          <w:lang w:eastAsia="zh-CN"/>
        </w:rPr>
        <w:t xml:space="preserve">    </w:t>
      </w:r>
      <w:r>
        <w:rPr>
          <w:rFonts w:hint="eastAsia" w:ascii="宋体" w:hAnsi="宋体" w:eastAsia="宋体" w:cs="宋体"/>
          <w:spacing w:val="-3"/>
          <w:sz w:val="24"/>
          <w:szCs w:val="24"/>
          <w:highlight w:val="none"/>
          <w:lang w:eastAsia="zh-CN"/>
        </w:rPr>
        <w:t xml:space="preserve"> 交付时间：合同签订后并收到采购人全款后60日内完成软件产品到货、安装部署及调试工作。</w:t>
      </w:r>
    </w:p>
    <w:p>
      <w:pPr>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 xml:space="preserve">     交付地点：</w:t>
      </w:r>
      <w:r>
        <w:rPr>
          <w:rFonts w:hint="eastAsia" w:ascii="宋体" w:hAnsi="宋体" w:cs="宋体"/>
          <w:sz w:val="24"/>
          <w:szCs w:val="24"/>
          <w:highlight w:val="none"/>
          <w:lang w:eastAsia="zh-CN"/>
        </w:rPr>
        <w:t>北京市通州区留庄路</w:t>
      </w:r>
      <w:r>
        <w:rPr>
          <w:rFonts w:hint="eastAsia" w:ascii="宋体" w:hAnsi="宋体" w:cs="宋体"/>
          <w:sz w:val="24"/>
          <w:szCs w:val="24"/>
          <w:highlight w:val="none"/>
          <w:lang w:val="en-US" w:eastAsia="zh-CN"/>
        </w:rPr>
        <w:t>5号院北京市农业农村局</w:t>
      </w:r>
      <w:r>
        <w:rPr>
          <w:rFonts w:hint="eastAsia" w:ascii="宋体" w:hAnsi="宋体" w:eastAsia="宋体" w:cs="宋体"/>
          <w:sz w:val="24"/>
          <w:szCs w:val="24"/>
          <w:highlight w:val="none"/>
          <w:lang w:eastAsia="zh-CN"/>
        </w:rPr>
        <w:t>。</w:t>
      </w:r>
    </w:p>
    <w:p>
      <w:pPr>
        <w:ind w:firstLine="461"/>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 xml:space="preserve"> 1.3.2 数据库适配技术支持服务要求</w:t>
      </w:r>
    </w:p>
    <w:p>
      <w:pPr>
        <w:ind w:firstLine="702" w:firstLineChars="300"/>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投标人须提供适配技术支持服务，服务提供方式不限于现场、邮件、电话、即时通讯工具等服务形式，包含但不限于数据库适配、数据迁移以及应用层适配的必须要技术支持服务。</w:t>
      </w:r>
    </w:p>
    <w:p>
      <w:pPr>
        <w:ind w:firstLine="461"/>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 xml:space="preserve"> 1.3.3 服务要求</w:t>
      </w:r>
    </w:p>
    <w:p>
      <w:pPr>
        <w:ind w:firstLine="702" w:firstLineChars="300"/>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投标人须设立项目团队，负责集中式数据库现场响应工作，响应工作时间内需求及故障处置，同时执行操作系统、数据库的版本升级和漏洞整改。</w:t>
      </w:r>
    </w:p>
    <w:p>
      <w:pPr>
        <w:ind w:firstLine="702" w:firstLineChars="300"/>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项目团队由一名项目经理、一名技术负责人及多名普通项目组成员组成，项目组所有人员均具备</w:t>
      </w:r>
      <w:r>
        <w:rPr>
          <w:rFonts w:hint="eastAsia" w:ascii="宋体" w:hAnsi="宋体" w:cs="宋体"/>
          <w:spacing w:val="-3"/>
          <w:sz w:val="24"/>
          <w:szCs w:val="24"/>
          <w:highlight w:val="none"/>
          <w:lang w:val="en-US" w:eastAsia="zh-CN"/>
        </w:rPr>
        <w:t>5</w:t>
      </w:r>
      <w:r>
        <w:rPr>
          <w:rFonts w:hint="eastAsia" w:ascii="宋体" w:hAnsi="宋体" w:eastAsia="宋体" w:cs="宋体"/>
          <w:spacing w:val="-3"/>
          <w:sz w:val="24"/>
          <w:szCs w:val="24"/>
          <w:highlight w:val="none"/>
          <w:lang w:eastAsia="zh-CN"/>
        </w:rPr>
        <w:t xml:space="preserve"> 年（含）以上类似项目实施经验（投标时需提供全部成员名单和简历），团队成员资质要求如下：</w:t>
      </w:r>
    </w:p>
    <w:p>
      <w:pPr>
        <w:ind w:firstLine="702" w:firstLineChars="300"/>
        <w:rPr>
          <w:rFonts w:hint="eastAsia" w:ascii="宋体" w:hAnsi="宋体" w:eastAsia="宋体" w:cs="宋体"/>
          <w:b w:val="0"/>
          <w:bCs w:val="0"/>
          <w:spacing w:val="-3"/>
          <w:sz w:val="24"/>
          <w:szCs w:val="24"/>
          <w:highlight w:val="none"/>
          <w:lang w:eastAsia="zh-CN"/>
        </w:rPr>
      </w:pPr>
      <w:r>
        <w:rPr>
          <w:rFonts w:hint="eastAsia" w:ascii="宋体" w:hAnsi="宋体" w:eastAsia="宋体" w:cs="宋体"/>
          <w:spacing w:val="-3"/>
          <w:sz w:val="24"/>
          <w:szCs w:val="24"/>
          <w:highlight w:val="none"/>
          <w:lang w:eastAsia="zh-CN"/>
        </w:rPr>
        <w:t>1.项目经理需持有数据库系统工程师、信息系统项目管理师</w:t>
      </w:r>
      <w:r>
        <w:rPr>
          <w:rFonts w:hint="eastAsia" w:ascii="宋体" w:hAnsi="宋体" w:cs="宋体"/>
          <w:spacing w:val="-3"/>
          <w:sz w:val="24"/>
          <w:szCs w:val="24"/>
          <w:highlight w:val="none"/>
          <w:lang w:eastAsia="zh-CN"/>
        </w:rPr>
        <w:t>、</w:t>
      </w:r>
      <w:r>
        <w:rPr>
          <w:rFonts w:hint="eastAsia" w:ascii="宋体" w:hAnsi="宋体" w:eastAsia="宋体" w:cs="宋体"/>
          <w:spacing w:val="-3"/>
          <w:sz w:val="24"/>
          <w:szCs w:val="24"/>
          <w:highlight w:val="none"/>
          <w:lang w:eastAsia="zh-CN"/>
        </w:rPr>
        <w:t>网络工程师等任意一个证书。</w:t>
      </w:r>
    </w:p>
    <w:p>
      <w:pPr>
        <w:ind w:firstLine="702" w:firstLineChars="300"/>
        <w:rPr>
          <w:rFonts w:hint="eastAsia" w:ascii="宋体" w:hAnsi="宋体" w:eastAsia="宋体" w:cs="宋体"/>
          <w:spacing w:val="-3"/>
          <w:sz w:val="24"/>
          <w:szCs w:val="24"/>
          <w:highlight w:val="none"/>
          <w:lang w:eastAsia="zh-CN"/>
        </w:rPr>
      </w:pPr>
      <w:r>
        <w:rPr>
          <w:rFonts w:hint="eastAsia" w:ascii="宋体" w:hAnsi="宋体" w:cs="宋体"/>
          <w:spacing w:val="-3"/>
          <w:sz w:val="24"/>
          <w:szCs w:val="24"/>
          <w:highlight w:val="none"/>
          <w:lang w:val="en-US" w:eastAsia="zh-CN"/>
        </w:rPr>
        <w:t>2</w:t>
      </w:r>
      <w:r>
        <w:rPr>
          <w:rFonts w:hint="eastAsia" w:ascii="宋体" w:hAnsi="宋体" w:eastAsia="宋体" w:cs="宋体"/>
          <w:spacing w:val="-3"/>
          <w:sz w:val="24"/>
          <w:szCs w:val="24"/>
          <w:highlight w:val="none"/>
          <w:lang w:eastAsia="zh-CN"/>
        </w:rPr>
        <w:t xml:space="preserve">、项目团队，除项目经理外，需配备不少于 3名成员，每位成员均具备 </w:t>
      </w:r>
      <w:r>
        <w:rPr>
          <w:rFonts w:hint="eastAsia" w:ascii="宋体" w:hAnsi="宋体" w:cs="宋体"/>
          <w:spacing w:val="-3"/>
          <w:sz w:val="24"/>
          <w:szCs w:val="24"/>
          <w:highlight w:val="none"/>
          <w:lang w:val="en-US" w:eastAsia="zh-CN"/>
        </w:rPr>
        <w:t>5</w:t>
      </w:r>
      <w:r>
        <w:rPr>
          <w:rFonts w:hint="eastAsia" w:ascii="宋体" w:hAnsi="宋体" w:eastAsia="宋体" w:cs="宋体"/>
          <w:spacing w:val="-3"/>
          <w:sz w:val="24"/>
          <w:szCs w:val="24"/>
          <w:highlight w:val="none"/>
          <w:lang w:eastAsia="zh-CN"/>
        </w:rPr>
        <w:t>年（含）以上类似项目实施经验。</w:t>
      </w:r>
    </w:p>
    <w:p>
      <w:pPr>
        <w:ind w:firstLine="461"/>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 xml:space="preserve"> 1.3.4 付款条件</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合同签订后，自收到发票之日起10个工作日内采购人将资金支付到合同约定的</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lang w:eastAsia="zh-CN"/>
        </w:rPr>
        <w:t>账户，以电汇方式一次性清全款。</w:t>
      </w:r>
    </w:p>
    <w:p>
      <w:pPr>
        <w:pStyle w:val="6"/>
        <w:ind w:firstLine="468"/>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1.3.5 包装和运输</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包装和运输（须满足《关于印发〈商品包装政府采购需求标准（试行）〉、〈快递包装政府采购需求标准（试行）〉的通知》（财办库﹝2020﹞123号））</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标人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中标人应对由于设计、工艺或材料的缺陷而发生的任何不足或故障负责。</w:t>
      </w:r>
    </w:p>
    <w:p>
      <w:pPr>
        <w:pStyle w:val="6"/>
        <w:ind w:firstLine="468"/>
        <w:rPr>
          <w:rFonts w:hint="eastAsia" w:ascii="宋体" w:hAnsi="宋体" w:eastAsia="宋体" w:cs="宋体"/>
          <w:spacing w:val="-3"/>
          <w:sz w:val="24"/>
          <w:szCs w:val="24"/>
          <w:highlight w:val="none"/>
          <w:lang w:eastAsia="zh-CN"/>
        </w:rPr>
      </w:pPr>
      <w:r>
        <w:rPr>
          <w:rFonts w:hint="eastAsia" w:ascii="宋体" w:hAnsi="宋体" w:eastAsia="宋体" w:cs="宋体"/>
          <w:spacing w:val="-3"/>
          <w:sz w:val="24"/>
          <w:szCs w:val="24"/>
          <w:highlight w:val="none"/>
          <w:lang w:eastAsia="zh-CN"/>
        </w:rPr>
        <w:t>1.3.6 售后服务</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1、技术培训</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投标人应结合下列技术培训要求，制定详细的组织方案，并包括培训方式、授课人员、日程安排等，具体要求包括：</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（1）投标人应提供操作及维护培训，并结合本项目所列产品制定培训方案，安排至少 1 名技术人员对采购人提供安装操作及维护培训，并结合采购人需求开展讲解；全部费用包含在项目报价中；</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投标人在投标文件中需提供技术培训的详细计划。培训方式为现场培训（人数不限）；培训内容：软件产品的安装步骤、使用方法、注意事项以及运行条件等进行详细介绍，培训时间及地点由采购人根据运行需要灵活安排。</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2、质量保证期</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（1）项目质保期为三年，时间从自北京市农业农村局能力提升项目整体终验合格之日起算。</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（2）自北京市农业农村局信息化能力提升项目整体终验通过之日起，提供为期三年的无偿升级服务。</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（3）投标人承诺提供原厂售后服务。</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3、质量保证责任</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eastAsia="zh-CN"/>
        </w:rPr>
        <w:t>应保证：</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（1）所提供的产品为全新的、质量高的、并满足技术指标要求；</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（2）质保期内，按照采购人要求负责项目整体运维工作，包括对软件产品的调整、更新和升级。</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4、故障响应</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（1）发生故障时，提供 24 小时技术人员现场服务，及时排查故障原因，并组织技术力量及时解决故障。</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为保障系统的平稳运行与快速响应，为满足系统稳定运行，为各系统提供必要的技术支撑，中标人需组建质保期技术团队，通过线上线下形式提供良好的服务。根据现场情况及采购人要求，需要无条件增加技术力量协助解决系统出现的故障，提供业务保障。</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5、售后服务体系</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投标人应制定详细的售后服务方案，具体内容包括：</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（1）建立售后服务体系，明确服务于本合同项目的售后服务机构、专业技术人员、售后服务联系方式，技术支持和售后服务的方式包括电话支持、远程网络支持、现场支持等多种组织形式：</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1）电话和远程网络支持：对于产品过程中产生的非故障类问题，设有专门的售后服务电话提供电话咨询服务，专业人员接听并及时做好反馈记录，并及时提供解决问题的方法；</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2）现场支持：如果不能通过电话支持服务解决产品发生的技术故障，经双方商议确认需要进行现场支持的情况下，投标人应在 24 小时之内安排相关专业人员到指定地点进行及时指导。</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（2）定期派专业人员到业主处查看产品使用效果；质量保证期内所涉及费 用均包含在投标报价中；提供质量保证期满后的售后服务内容以及费用收取标准。</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（3）其他售后服务：</w:t>
      </w:r>
    </w:p>
    <w:p>
      <w:pPr>
        <w:widowControl/>
        <w:shd w:val="clear" w:color="auto" w:fill="FFFFFF"/>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项目完成后，中标人应提供后续项目绩效考核、相关检查配合工作,所涉及费用均包含在投标报价中。</w:t>
      </w:r>
    </w:p>
    <w:p>
      <w:pPr>
        <w:rPr>
          <w:rFonts w:hint="eastAsia" w:ascii="宋体" w:hAnsi="宋体" w:eastAsia="宋体" w:cs="宋体"/>
          <w:sz w:val="24"/>
          <w:szCs w:val="24"/>
          <w:highlight w:val="none"/>
          <w:lang w:eastAsia="zh-CN"/>
        </w:rPr>
      </w:pPr>
    </w:p>
    <w:p>
      <w:pPr>
        <w:pStyle w:val="3"/>
        <w:spacing w:before="129"/>
        <w:ind w:left="120"/>
        <w:rPr>
          <w:rFonts w:hint="eastAsia" w:ascii="宋体" w:hAnsi="宋体" w:eastAsia="宋体" w:cs="宋体"/>
          <w:b w:val="0"/>
          <w:bCs w:val="0"/>
          <w:sz w:val="24"/>
          <w:szCs w:val="24"/>
          <w:highlight w:val="none"/>
          <w:lang w:eastAsia="zh-CN"/>
        </w:rPr>
      </w:pPr>
      <w:r>
        <w:rPr>
          <w:rFonts w:hint="eastAsia" w:ascii="宋体" w:hAnsi="宋体" w:eastAsia="宋体" w:cs="宋体"/>
          <w:w w:val="105"/>
          <w:sz w:val="24"/>
          <w:szCs w:val="24"/>
          <w:highlight w:val="none"/>
          <w:lang w:eastAsia="zh-CN"/>
        </w:rPr>
        <w:t>1.4.</w:t>
      </w:r>
      <w:r>
        <w:rPr>
          <w:rFonts w:hint="eastAsia" w:ascii="宋体" w:hAnsi="宋体" w:eastAsia="宋体" w:cs="宋体"/>
          <w:spacing w:val="-17"/>
          <w:w w:val="105"/>
          <w:sz w:val="24"/>
          <w:szCs w:val="24"/>
          <w:highlight w:val="none"/>
          <w:lang w:eastAsia="zh-CN"/>
        </w:rPr>
        <w:t xml:space="preserve"> </w:t>
      </w:r>
      <w:r>
        <w:rPr>
          <w:rFonts w:hint="eastAsia" w:ascii="宋体" w:hAnsi="宋体" w:eastAsia="宋体" w:cs="宋体"/>
          <w:w w:val="105"/>
          <w:sz w:val="24"/>
          <w:szCs w:val="24"/>
          <w:highlight w:val="none"/>
          <w:lang w:eastAsia="zh-CN"/>
        </w:rPr>
        <w:t>技术参数</w:t>
      </w:r>
    </w:p>
    <w:p>
      <w:pPr>
        <w:pStyle w:val="5"/>
        <w:spacing w:before="79"/>
        <w:ind w:left="600"/>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lang w:eastAsia="zh-CN"/>
        </w:rPr>
        <w:t>★代表实质性指标，不允许负偏离，不满足该指标项将导致响应被拒绝；对</w:t>
      </w:r>
    </w:p>
    <w:p>
      <w:pPr>
        <w:pStyle w:val="5"/>
        <w:spacing w:before="154"/>
        <w:ind w:left="12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于招标文件中的“★”号条款，投标人需在投标文件中逐条响应。</w:t>
      </w:r>
    </w:p>
    <w:p>
      <w:pPr>
        <w:pStyle w:val="3"/>
        <w:spacing w:line="375" w:lineRule="exact"/>
        <w:ind w:left="120"/>
        <w:rPr>
          <w:rFonts w:hint="eastAsia" w:ascii="宋体" w:hAnsi="宋体" w:eastAsia="宋体" w:cs="宋体"/>
          <w:b w:val="0"/>
          <w:bCs w:val="0"/>
          <w:sz w:val="24"/>
          <w:szCs w:val="24"/>
          <w:highlight w:val="none"/>
          <w:lang w:eastAsia="zh-CN"/>
        </w:rPr>
      </w:pPr>
      <w:bookmarkStart w:id="0" w:name="1.4.2._集中式数据库通用参数"/>
      <w:bookmarkEnd w:id="0"/>
      <w:r>
        <w:rPr>
          <w:rFonts w:hint="eastAsia" w:ascii="宋体" w:hAnsi="宋体" w:eastAsia="宋体" w:cs="宋体"/>
          <w:sz w:val="24"/>
          <w:szCs w:val="24"/>
          <w:highlight w:val="none"/>
          <w:lang w:eastAsia="zh-CN"/>
        </w:rPr>
        <w:t xml:space="preserve">1.4.2. </w:t>
      </w:r>
      <w:r>
        <w:rPr>
          <w:rFonts w:hint="eastAsia" w:ascii="宋体" w:hAnsi="宋体" w:eastAsia="宋体" w:cs="宋体"/>
          <w:spacing w:val="44"/>
          <w:sz w:val="24"/>
          <w:szCs w:val="24"/>
          <w:highlight w:val="none"/>
          <w:lang w:eastAsia="zh-CN"/>
        </w:rPr>
        <w:t xml:space="preserve"> </w:t>
      </w:r>
      <w:r>
        <w:rPr>
          <w:rFonts w:hint="eastAsia" w:ascii="宋体" w:hAnsi="宋体" w:eastAsia="宋体" w:cs="宋体"/>
          <w:sz w:val="24"/>
          <w:szCs w:val="24"/>
          <w:highlight w:val="none"/>
          <w:u w:val="single" w:color="000000"/>
          <w:lang w:eastAsia="zh-CN"/>
        </w:rPr>
        <w:t>集中式数据库通用参数</w:t>
      </w:r>
    </w:p>
    <w:p>
      <w:pPr>
        <w:spacing w:before="2"/>
        <w:rPr>
          <w:rFonts w:hint="eastAsia" w:ascii="宋体" w:hAnsi="宋体" w:eastAsia="宋体" w:cs="宋体"/>
          <w:b/>
          <w:bCs/>
          <w:sz w:val="24"/>
          <w:szCs w:val="24"/>
          <w:highlight w:val="none"/>
          <w:lang w:eastAsia="zh-CN"/>
        </w:rPr>
      </w:pPr>
    </w:p>
    <w:p>
      <w:pPr>
        <w:pStyle w:val="5"/>
        <w:spacing w:before="26" w:line="338" w:lineRule="auto"/>
        <w:ind w:left="120" w:right="213" w:firstLine="48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★投标人承诺所投集中式数据库满足《数据库政府采购需求标准（2023年版）》（财库〔2023〕35号），文件中“集中式数据库政府采购需求标准”的</w:t>
      </w:r>
      <w:r>
        <w:rPr>
          <w:rFonts w:hint="eastAsia" w:ascii="宋体" w:hAnsi="宋体" w:eastAsia="宋体" w:cs="宋体"/>
          <w:spacing w:val="-56"/>
          <w:sz w:val="24"/>
          <w:szCs w:val="24"/>
          <w:highlight w:val="none"/>
          <w:lang w:eastAsia="zh-CN"/>
        </w:rPr>
        <w:t xml:space="preserve"> </w:t>
      </w:r>
      <w:r>
        <w:rPr>
          <w:rFonts w:hint="eastAsia" w:ascii="宋体" w:hAnsi="宋体" w:eastAsia="宋体" w:cs="宋体"/>
          <w:sz w:val="24"/>
          <w:szCs w:val="24"/>
          <w:highlight w:val="none"/>
          <w:lang w:eastAsia="zh-CN"/>
        </w:rPr>
        <w:t>全部要求，提供加盖投标人公章的承诺函。</w:t>
      </w:r>
    </w:p>
    <w:p>
      <w:pPr>
        <w:spacing w:before="10"/>
        <w:rPr>
          <w:rFonts w:hint="eastAsia" w:ascii="宋体" w:hAnsi="宋体" w:eastAsia="宋体" w:cs="宋体"/>
          <w:sz w:val="24"/>
          <w:szCs w:val="24"/>
          <w:highlight w:val="none"/>
          <w:lang w:eastAsia="zh-CN"/>
        </w:rPr>
      </w:pPr>
    </w:p>
    <w:p>
      <w:pPr>
        <w:pStyle w:val="3"/>
        <w:tabs>
          <w:tab w:val="left" w:pos="1380"/>
        </w:tabs>
        <w:ind w:left="120"/>
        <w:rPr>
          <w:rFonts w:hint="eastAsia" w:ascii="宋体" w:hAnsi="宋体" w:eastAsia="宋体" w:cs="宋体"/>
          <w:w w:val="105"/>
          <w:sz w:val="24"/>
          <w:szCs w:val="24"/>
          <w:highlight w:val="none"/>
          <w:u w:val="single" w:color="000000"/>
          <w:lang w:eastAsia="zh-CN"/>
        </w:rPr>
      </w:pPr>
      <w:bookmarkStart w:id="1" w:name="1.4.2.1._在满足通用参数基础上集中式数据库1需满足的其他参数要求"/>
      <w:bookmarkEnd w:id="1"/>
      <w:r>
        <w:rPr>
          <w:rFonts w:hint="eastAsia" w:ascii="宋体" w:hAnsi="宋体" w:eastAsia="宋体" w:cs="宋体"/>
          <w:w w:val="105"/>
          <w:sz w:val="24"/>
          <w:szCs w:val="24"/>
          <w:highlight w:val="none"/>
          <w:lang w:eastAsia="zh-CN"/>
        </w:rPr>
        <w:t>1.4.2.1.</w:t>
      </w:r>
      <w:r>
        <w:rPr>
          <w:rFonts w:hint="eastAsia" w:ascii="宋体" w:hAnsi="宋体" w:eastAsia="宋体" w:cs="宋体"/>
          <w:w w:val="105"/>
          <w:sz w:val="24"/>
          <w:szCs w:val="24"/>
          <w:highlight w:val="none"/>
          <w:lang w:eastAsia="zh-CN"/>
        </w:rPr>
        <w:tab/>
      </w:r>
      <w:r>
        <w:rPr>
          <w:rFonts w:hint="eastAsia" w:ascii="宋体" w:hAnsi="宋体" w:eastAsia="宋体" w:cs="宋体"/>
          <w:w w:val="105"/>
          <w:sz w:val="24"/>
          <w:szCs w:val="24"/>
          <w:highlight w:val="none"/>
          <w:u w:val="single" w:color="000000"/>
          <w:lang w:eastAsia="zh-CN"/>
        </w:rPr>
        <w:t>在满足通用参数基础上集中式数据库需满足的其他参数要求</w:t>
      </w:r>
    </w:p>
    <w:tbl>
      <w:tblPr>
        <w:tblStyle w:val="8"/>
        <w:tblW w:w="817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5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tcPr>
          <w:p>
            <w:pPr>
              <w:pStyle w:val="3"/>
              <w:tabs>
                <w:tab w:val="left" w:pos="1380"/>
              </w:tabs>
              <w:ind w:left="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序号</w:t>
            </w:r>
          </w:p>
        </w:tc>
        <w:tc>
          <w:tcPr>
            <w:tcW w:w="850" w:type="dxa"/>
          </w:tcPr>
          <w:p>
            <w:pPr>
              <w:pStyle w:val="3"/>
              <w:tabs>
                <w:tab w:val="left" w:pos="1380"/>
              </w:tabs>
              <w:ind w:left="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分类</w:t>
            </w:r>
          </w:p>
        </w:tc>
        <w:tc>
          <w:tcPr>
            <w:tcW w:w="6600" w:type="dxa"/>
          </w:tcPr>
          <w:p>
            <w:pPr>
              <w:pStyle w:val="3"/>
              <w:tabs>
                <w:tab w:val="left" w:pos="1380"/>
              </w:tabs>
              <w:ind w:left="0"/>
              <w:rPr>
                <w:rFonts w:hint="eastAsia" w:ascii="宋体" w:hAnsi="宋体" w:eastAsia="宋体" w:cs="宋体"/>
                <w:bCs w:val="0"/>
                <w:sz w:val="24"/>
                <w:szCs w:val="24"/>
                <w:highlight w:val="none"/>
                <w:lang w:eastAsia="zh-CN"/>
              </w:rPr>
            </w:pPr>
            <w:r>
              <w:rPr>
                <w:rFonts w:hint="eastAsia" w:ascii="宋体" w:hAnsi="宋体" w:eastAsia="宋体" w:cs="宋体"/>
                <w:bCs w:val="0"/>
                <w:sz w:val="24"/>
                <w:szCs w:val="24"/>
                <w:highlight w:val="none"/>
                <w:lang w:eastAsia="zh-CN"/>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5" w:hRule="atLeast"/>
        </w:trPr>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p>
        </w:tc>
        <w:tc>
          <w:tcPr>
            <w:tcW w:w="850"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功能要求</w:t>
            </w:r>
          </w:p>
        </w:tc>
        <w:tc>
          <w:tcPr>
            <w:tcW w:w="660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#支持在国产化平台上进行安装部署，采用一套代码同时兼容多款异构数据库，安装过程中可选择Oracle、Mysql、SQL Server、Postgresql任意一种模式进行初始化，降低运维管控成本。数据库管理系统支持采用一套代码同时兼容多款异构数据库，数据库实例初始化时支持Oracle、Mysql、SQL Server、Postgresql兼容模式选择以体现广泛的应用兼容能力。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p>
        </w:tc>
        <w:tc>
          <w:tcPr>
            <w:tcW w:w="850"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功能要求</w:t>
            </w:r>
          </w:p>
        </w:tc>
        <w:tc>
          <w:tcPr>
            <w:tcW w:w="6600" w:type="dxa"/>
          </w:tcPr>
          <w:p>
            <w:pPr>
              <w:pStyle w:val="4"/>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#兼容SQLServer的内置系统视图，包括SYS.DEFAULT_CONSTRAINTS、SYS.FILEGROUPS、SYS.DM_EXEC_XML_HANDLES,兼容系统表MASTER.DBO.SPT_VALUES；上述功能须提供</w:t>
            </w:r>
            <w:r>
              <w:rPr>
                <w:rFonts w:hint="eastAsia" w:ascii="宋体" w:hAnsi="宋体" w:cs="宋体"/>
                <w:sz w:val="24"/>
                <w:highlight w:val="none"/>
                <w:lang w:val="en-US" w:eastAsia="zh-CN"/>
              </w:rPr>
              <w:t>加盖投标人公章的承诺函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w:t>
            </w:r>
          </w:p>
        </w:tc>
        <w:tc>
          <w:tcPr>
            <w:tcW w:w="850"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功能要求</w:t>
            </w:r>
          </w:p>
        </w:tc>
        <w:tc>
          <w:tcPr>
            <w:tcW w:w="660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#支持在创建索引create index与更新索引alter index语句中使用并行子句 parallel_clause设定索引创建的并行性。支持通过关键字PARALLEL指定 创建索引时启用并行创建功能，支持通过在PARALLEL关键字后设置并行进程数；支持通过NO PARALLEL关键字指定创建索引时关闭并行创建功能。上述功能须提供</w:t>
            </w:r>
            <w:r>
              <w:rPr>
                <w:rFonts w:hint="eastAsia" w:ascii="宋体" w:hAnsi="宋体" w:cs="宋体"/>
                <w:sz w:val="24"/>
                <w:highlight w:val="none"/>
                <w:lang w:val="en-US" w:eastAsia="zh-CN"/>
              </w:rPr>
              <w:t>加盖投标人公章的承诺函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w:t>
            </w:r>
          </w:p>
        </w:tc>
        <w:tc>
          <w:tcPr>
            <w:tcW w:w="85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功能要求</w:t>
            </w:r>
          </w:p>
        </w:tc>
        <w:tc>
          <w:tcPr>
            <w:tcW w:w="660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#提供QueryMapping查询映射功能，支持对DQL、DML及特定DDL等SQL语法的解析；支持语句级的Wildcard模式，以实现对表名、列名及变长数组的模糊匹配；支持对负数常量的精准识别，并具备将单条SQL语 句转换为多条执行语句的拆分能力，并在Text、Wildcard、Semantics多种模式下支持前后台函数的匹配，并配套提供专用的SQL转换工具、 Debug调试工具及数据缓存机制；上述功能须提供</w:t>
            </w:r>
            <w:r>
              <w:rPr>
                <w:rFonts w:hint="eastAsia" w:ascii="宋体" w:hAnsi="宋体" w:cs="宋体"/>
                <w:sz w:val="24"/>
                <w:highlight w:val="none"/>
                <w:lang w:val="en-US" w:eastAsia="zh-CN"/>
              </w:rPr>
              <w:t>加盖投标人公章的承诺函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w:t>
            </w:r>
          </w:p>
        </w:tc>
        <w:tc>
          <w:tcPr>
            <w:tcW w:w="85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安全要求</w:t>
            </w:r>
          </w:p>
        </w:tc>
        <w:tc>
          <w:tcPr>
            <w:tcW w:w="660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存储支持透明存储加密和手动数据加密功能，其中加密算法支持对称加密算法RC4、AES、DES/3DES、Blowfish、SM4；支持非对称加密算法SM2；支持摘要算法MD5；支持散列函数算法SM3多种算法，支持单机和集群场景；上述功能须提供</w:t>
            </w:r>
            <w:r>
              <w:rPr>
                <w:rFonts w:hint="eastAsia" w:ascii="宋体" w:hAnsi="宋体" w:cs="宋体"/>
                <w:sz w:val="24"/>
                <w:highlight w:val="none"/>
                <w:lang w:val="en-US" w:eastAsia="zh-CN"/>
              </w:rPr>
              <w:t>加盖投标人公章的承诺函</w:t>
            </w:r>
            <w:r>
              <w:rPr>
                <w:rFonts w:hint="eastAsia" w:ascii="宋体" w:hAnsi="宋体" w:eastAsia="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6" w:type="dxa"/>
            <w:vAlign w:val="center"/>
          </w:tcPr>
          <w:p>
            <w:pPr>
              <w:pStyle w:val="10"/>
              <w:spacing w:before="112"/>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w:t>
            </w:r>
          </w:p>
        </w:tc>
        <w:tc>
          <w:tcPr>
            <w:tcW w:w="85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管理要求</w:t>
            </w:r>
          </w:p>
        </w:tc>
        <w:tc>
          <w:tcPr>
            <w:tcW w:w="6600" w:type="dxa"/>
          </w:tcPr>
          <w:p>
            <w:pPr>
              <w:pStyle w:val="10"/>
              <w:spacing w:before="112"/>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数据库对象管理工具支持对计划任务的管理，包括：支持对作业Job、程序Program、调度程序Scchedule类型的计划任务进行管理；支持对计划任务进行实例级别的管理，可集中管控，简化管理复杂度；支持创建程序时，无需用户手动输入数据库名、用户名等数据库连接信息，可自动生成本库任务；支持使用时间日期设置调度任务，支持包括时间间隔和时间表达式两种形式的时间日期设置方式；支持查看计划任务的执行情况；支持不同版本数据库的计划任务共存管理，可根据数据库版本自动判断和切换计划任务管理策略；上述功能须提供</w:t>
            </w:r>
            <w:r>
              <w:rPr>
                <w:rFonts w:hint="eastAsia" w:ascii="宋体" w:hAnsi="宋体" w:cs="宋体"/>
                <w:sz w:val="24"/>
                <w:highlight w:val="none"/>
                <w:lang w:val="en-US" w:eastAsia="zh-CN"/>
              </w:rPr>
              <w:t>加盖投标人公章的承诺函</w:t>
            </w:r>
            <w:r>
              <w:rPr>
                <w:rFonts w:hint="eastAsia" w:ascii="宋体" w:hAnsi="宋体" w:eastAsia="宋体" w:cs="宋体"/>
                <w:sz w:val="24"/>
                <w:szCs w:val="24"/>
                <w:highlight w:val="none"/>
                <w:lang w:eastAsia="zh-CN"/>
              </w:rPr>
              <w:t>；</w:t>
            </w:r>
          </w:p>
        </w:tc>
      </w:tr>
    </w:tbl>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416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5"/>
    <w:basedOn w:val="1"/>
    <w:next w:val="1"/>
    <w:qFormat/>
    <w:uiPriority w:val="0"/>
    <w:pPr>
      <w:keepNext/>
      <w:keepLines/>
      <w:adjustRightInd w:val="0"/>
      <w:spacing w:before="280" w:after="290" w:line="376" w:lineRule="atLeast"/>
      <w:textAlignment w:val="baseline"/>
      <w:outlineLvl w:val="4"/>
    </w:pPr>
    <w:rPr>
      <w:b/>
      <w:kern w:val="0"/>
      <w:sz w:val="28"/>
      <w:szCs w:val="20"/>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无间隔1"/>
    <w:basedOn w:val="1"/>
    <w:qFormat/>
    <w:uiPriority w:val="0"/>
    <w:pPr>
      <w:widowControl/>
      <w:spacing w:line="360" w:lineRule="auto"/>
      <w:jc w:val="center"/>
    </w:pPr>
    <w:rPr>
      <w:szCs w:val="21"/>
    </w:rPr>
  </w:style>
  <w:style w:type="paragraph" w:styleId="4">
    <w:name w:val="annotation text"/>
    <w:basedOn w:val="1"/>
    <w:qFormat/>
    <w:uiPriority w:val="99"/>
    <w:pPr>
      <w:jc w:val="left"/>
    </w:p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next w:val="1"/>
    <w:qFormat/>
    <w:uiPriority w:val="0"/>
    <w:rPr>
      <w:rFonts w:hint="eastAsia" w:ascii="宋体" w:hAnsi="Courier New"/>
      <w:szCs w:val="20"/>
    </w:rPr>
  </w:style>
  <w:style w:type="table" w:styleId="8">
    <w:name w:val="Table Grid"/>
    <w:basedOn w:val="7"/>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2026-05-17T12:49:42Z</dcterms:created>
  <dc:creator>86135</dc:creator>
  <cp:lastModifiedBy>Gjl</cp:lastModifiedBy>
  <dcterms:modified xsi:type="dcterms:W3CDTF">2026-05-17T12:50:00Z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